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Конфіденційно</w:t>
      </w:r>
    </w:p>
    <w:p>
      <w:pPr>
        <w:spacing w:after="60"/>
      </w:pPr>
      <w:r>
        <w:rPr>
          <w:b/>
          <w:bCs/>
          <w:sz w:val="32"/>
          <w:szCs w:val="32"/>
        </w:rPr>
        <w:t xml:space="preserve">Умови проведення турніру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Туреччина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50"/>
      </w:tblGrid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Назва турніру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Регіон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Туреччина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Гра, що бере участь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(одна гра)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Тривалість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липня – 4 серпня 2026 (30 днів)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Призовий фонд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Грошовий призовий фонд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Загальна кількість переможців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Мінімальна кваліфікаційна ставка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за раунд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Мінімальний кваліфікаційний коефіцієнт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Максимальний ліміт раундів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Загалом 5 400 раундів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Огляд акції</w:t>
      </w:r>
    </w:p>
    <w:p>
      <w:pPr>
        <w:spacing w:after="120"/>
      </w:pPr>
      <w:r>
        <w:rPr>
          <w:sz w:val="21"/>
          <w:szCs w:val="21"/>
        </w:rPr>
        <w:t xml:space="preserve">«Poker Kralı» — це 30-денний турнір з live-казино, організований CreedRoomz, який триває з 6 липня 2026 року по 4 серпня 2026 року. Турнір відкритий для всіх відповідних вимогам гравців партнерських операторів, які беруть участь у регіоні Туреччини.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Участь і вимоги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Усі гравці відповідних вимогам партнерських операторів автоматично реєструються для участі в турнірі після здійснення кваліфікаційної ставки.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Гра, що бере участь: Russian Poker (одна гра)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Мінімальна кваліфікаційна ставка: 0.10 за раунд.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Мінімальний кваліфікаційний коефіцієнт: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Максимальний ліміт раундів: загалом 5 400 раундів на одного гравця за весь період турніру.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Для потрапляння до таблиці лідерів гравцю необхідно здобути щонайменше одну перемогу.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Участь можлива лише за наявності чинної угоди між оператором гравця та CreedRoomz на відповідний період турніру.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Призовий фонд і розподіл</w:t>
      </w:r>
    </w:p>
    <w:p>
      <w:pPr>
        <w:spacing w:after="120"/>
      </w:pPr>
      <w:r>
        <w:rPr>
          <w:sz w:val="21"/>
          <w:szCs w:val="21"/>
        </w:rPr>
        <w:t xml:space="preserve">Після завершення турніру 4 серпня 2026 року грошовий призовий фонд буде розподілено між 200 найкращими гравцями. Призи присуджуються на підставі підсумкового місця в таблиці лідерів.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Загальні умови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Ця акція залежить від наявності та може бути змінена або скасована на розсуд CreedRoomz.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Призи не підлягають передачі та не можуть бути обміняні на інші винагороди або грошовий еквівалент поза стандартним процесом виплат.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залишає за собою право дискваліфікувати будь-якого гравця або анулювати його виграш у разі виявлення шахрайської діяльності, змови або порушення цих умов.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Використання автоматизованого програмного забезпечення, ботів або будь-якої форми скриптованої гри суворо заборонено та тягне за собою негайну дискваліфікацію.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У разі рівності результатів у таблиці лідерів вище місце посідає гравець, який першим досяг цього результату (за часовою відміткою кваліфікаційного раунду).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Рішення CreedRoomz щодо рейтингу турніру, права на приз і дискваліфікації є остаточними та обов'язковими.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Акція відповідає застосовним регуляторним вимогам у відповідній юрисдикції. Партнерські оператори несуть відповідальність за дотримання їхніми гравцями місцевого законодавства.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повністю покриває витрати на призовий фонд цієї акції.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Прийняття умов</w:t>
      </w:r>
    </w:p>
    <w:p>
      <w:pPr>
        <w:spacing w:after="120"/>
      </w:pPr>
      <w:r>
        <w:rPr>
          <w:sz w:val="21"/>
          <w:szCs w:val="21"/>
        </w:rPr>
        <w:t xml:space="preserve">Беручи участь у цьому турнірі, гравець підтверджує, що повністю ознайомився, зрозумів і прийняв ці умови. Продовження участі означає повну згоду з умовами.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Конфіденційно. Лише для розповсюдження серед партнерів.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2026-07-03T13:26:08.227Z</dcterms:created>
  <dcterms:modified xsi:type="dcterms:W3CDTF">2026-07-03T13:26:08.227Z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